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FJKZB-684062024</w:t>
      </w:r>
    </w:p>
    <w:p>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福建省女子监狱电力增容项目结算审核单位选取项目</w:t>
      </w:r>
    </w:p>
    <w:p>
      <w:pPr>
        <w:pStyle w:val="11"/>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福建省女子监狱电力增容项目结算审核单位选取项目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FJKZB-684062024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福建省女子监狱电力增容项目结算审核单位选取项目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报名开始时间：2024年07月</w:t>
      </w:r>
      <w:r>
        <w:rPr>
          <w:rFonts w:hint="eastAsia" w:ascii="宋体" w:hAnsi="宋体"/>
          <w:b w:val="0"/>
          <w:bCs w:val="0"/>
          <w:color w:val="auto"/>
          <w:sz w:val="24"/>
          <w:highlight w:val="none"/>
          <w:lang w:val="en-US" w:eastAsia="zh-CN"/>
        </w:rPr>
        <w:t>08</w:t>
      </w:r>
      <w:r>
        <w:rPr>
          <w:rFonts w:hint="eastAsia" w:ascii="宋体" w:hAnsi="宋体"/>
          <w:b w:val="0"/>
          <w:bCs w:val="0"/>
          <w:color w:val="auto"/>
          <w:sz w:val="24"/>
          <w:highlight w:val="none"/>
        </w:rPr>
        <w:t>日   16:</w:t>
      </w:r>
      <w:r>
        <w:rPr>
          <w:rFonts w:hint="eastAsia" w:ascii="宋体" w:hAnsi="宋体"/>
          <w:b w:val="0"/>
          <w:bCs w:val="0"/>
          <w:color w:val="auto"/>
          <w:sz w:val="24"/>
          <w:highlight w:val="none"/>
          <w:lang w:val="en-US" w:eastAsia="zh-CN"/>
        </w:rPr>
        <w:t>3</w:t>
      </w:r>
      <w:bookmarkStart w:id="20" w:name="_GoBack"/>
      <w:bookmarkEnd w:id="20"/>
      <w:r>
        <w:rPr>
          <w:rFonts w:hint="eastAsia" w:ascii="宋体" w:hAnsi="宋体"/>
          <w:b w:val="0"/>
          <w:bCs w:val="0"/>
          <w:color w:val="auto"/>
          <w:sz w:val="24"/>
          <w:highlight w:val="none"/>
        </w:rPr>
        <w:t>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报名截止时间：2024年07月15日   16:30:00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网上竞价开始时间：2024年07月16日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网上竞价截止时间：2024年07月16日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406</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朱</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000000"/>
          <w:sz w:val="24"/>
        </w:rPr>
        <w:t>0591-2350</w:t>
      </w:r>
      <w:r>
        <w:rPr>
          <w:rFonts w:hint="eastAsia" w:ascii="宋体" w:hAnsi="宋体" w:cs="宋体"/>
          <w:color w:val="000000"/>
          <w:sz w:val="24"/>
          <w:lang w:val="en-US" w:eastAsia="zh-CN"/>
        </w:rPr>
        <w:t>6036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47060296"/>
      <w:bookmarkStart w:id="4" w:name="_Toc327948617"/>
      <w:bookmarkStart w:id="5" w:name="_Toc346300367"/>
      <w:bookmarkStart w:id="6" w:name="_Toc330567034"/>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福建省女子监狱电力增容项目结算审核单位选取</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000000"/>
                <w:kern w:val="0"/>
                <w:sz w:val="24"/>
                <w:szCs w:val="24"/>
                <w:highlight w:val="none"/>
              </w:rPr>
              <w:t>1项</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40622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肆万零陆佰贰拾贰元整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新宋体"/>
                <w:color w:val="auto"/>
                <w:kern w:val="0"/>
                <w:sz w:val="24"/>
                <w:highlight w:val="none"/>
                <w:lang w:val="en-US" w:eastAsia="zh-CN"/>
              </w:rPr>
              <w:t>40622</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bl>
    <w:p>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福建省女子监狱电力增容项目结算审核单位选取项目，</w:t>
      </w:r>
      <w:r>
        <w:rPr>
          <w:rFonts w:hint="eastAsia" w:cs="宋体"/>
          <w:b w:val="0"/>
          <w:bCs/>
          <w:color w:val="auto"/>
          <w:sz w:val="24"/>
          <w:highlight w:val="none"/>
        </w:rPr>
        <w:t>预算金额</w:t>
      </w:r>
      <w:r>
        <w:rPr>
          <w:rFonts w:hint="eastAsia" w:cs="宋体"/>
          <w:b w:val="0"/>
          <w:bCs/>
          <w:color w:val="auto"/>
          <w:sz w:val="24"/>
          <w:highlight w:val="none"/>
          <w:lang w:val="en-US" w:eastAsia="zh-CN"/>
        </w:rPr>
        <w:t>4.0622万</w:t>
      </w:r>
      <w:r>
        <w:rPr>
          <w:rFonts w:hint="eastAsia" w:cs="宋体"/>
          <w:b w:val="0"/>
          <w:bCs/>
          <w:color w:val="auto"/>
          <w:sz w:val="24"/>
          <w:highlight w:val="none"/>
        </w:rPr>
        <w:t>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本项目为总价包干的形式，</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eastAsia="宋体" w:cs="宋体"/>
          <w:b/>
          <w:bCs/>
          <w:color w:val="000000"/>
          <w:sz w:val="24"/>
          <w:szCs w:val="24"/>
          <w:lang w:val="en-US" w:eastAsia="zh-CN"/>
        </w:rPr>
        <w:t>成交供应商只允许参与</w:t>
      </w:r>
      <w:r>
        <w:rPr>
          <w:rFonts w:hint="eastAsia" w:cs="宋体"/>
          <w:b/>
          <w:bCs/>
          <w:color w:val="auto"/>
          <w:sz w:val="24"/>
          <w:highlight w:val="none"/>
          <w:lang w:eastAsia="zh-CN"/>
        </w:rPr>
        <w:t>福建省女子监狱电力增容项目</w:t>
      </w:r>
      <w:r>
        <w:rPr>
          <w:rFonts w:hint="eastAsia" w:ascii="宋体" w:hAnsi="宋体" w:eastAsia="宋体" w:cs="宋体"/>
          <w:b/>
          <w:bCs/>
          <w:color w:val="000000"/>
          <w:sz w:val="24"/>
          <w:szCs w:val="24"/>
          <w:lang w:val="en-US" w:eastAsia="zh-CN"/>
        </w:rPr>
        <w:t>结算审核工作，不得参与</w:t>
      </w:r>
      <w:r>
        <w:rPr>
          <w:rFonts w:hint="eastAsia" w:cs="宋体"/>
          <w:b/>
          <w:bCs/>
          <w:color w:val="auto"/>
          <w:sz w:val="24"/>
          <w:highlight w:val="none"/>
          <w:lang w:eastAsia="zh-CN"/>
        </w:rPr>
        <w:t>福建省女子监狱电力增容项目预算编制工作、</w:t>
      </w:r>
      <w:r>
        <w:rPr>
          <w:rFonts w:hint="eastAsia" w:ascii="宋体" w:hAnsi="宋体" w:cs="宋体"/>
          <w:b/>
          <w:bCs/>
          <w:color w:val="000000"/>
          <w:sz w:val="24"/>
          <w:szCs w:val="24"/>
          <w:lang w:val="en-US" w:eastAsia="zh-CN"/>
        </w:rPr>
        <w:t>预算</w:t>
      </w:r>
      <w:r>
        <w:rPr>
          <w:rFonts w:hint="eastAsia" w:ascii="宋体" w:hAnsi="宋体" w:eastAsia="宋体" w:cs="宋体"/>
          <w:b/>
          <w:bCs/>
          <w:color w:val="000000"/>
          <w:sz w:val="24"/>
          <w:szCs w:val="24"/>
          <w:lang w:val="en-US" w:eastAsia="zh-CN"/>
        </w:rPr>
        <w:t>审核工作，否则其响应无效。</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b w:val="0"/>
          <w:bCs/>
          <w:color w:val="auto"/>
          <w:sz w:val="24"/>
          <w:highlight w:val="none"/>
          <w:lang w:eastAsia="zh-CN"/>
        </w:rPr>
        <w:t>福建省女子监狱电力增容项目</w:t>
      </w:r>
      <w:r>
        <w:rPr>
          <w:rFonts w:hint="eastAsia" w:ascii="宋体" w:hAnsi="宋体" w:eastAsia="宋体" w:cs="宋体"/>
          <w:color w:val="000000"/>
          <w:sz w:val="24"/>
          <w:szCs w:val="24"/>
          <w:lang w:val="en-US" w:eastAsia="zh-CN"/>
        </w:rPr>
        <w:t>结算审核单位选取项目</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结算审核</w:t>
      </w:r>
      <w:r>
        <w:rPr>
          <w:rFonts w:hint="eastAsia" w:ascii="宋体" w:hAnsi="宋体" w:eastAsia="宋体" w:cs="宋体"/>
          <w:color w:val="000000"/>
          <w:sz w:val="24"/>
          <w:szCs w:val="24"/>
          <w:highlight w:val="none"/>
        </w:rPr>
        <w:t>服务。向采购人提供与工程竣工结算造价咨询业务有关的资料，包括承担本业务的专业人员名单、工程竣工结算造价咨询审核工作计划等，并按约定的范围实施工程竣工结算造价咨询业务、工程变更及签证的审核</w:t>
      </w:r>
      <w:r>
        <w:rPr>
          <w:rFonts w:hint="eastAsia" w:ascii="宋体" w:hAnsi="宋体" w:eastAsia="宋体" w:cs="宋体"/>
          <w:color w:val="000000"/>
          <w:sz w:val="24"/>
          <w:szCs w:val="24"/>
          <w:highlight w:val="none"/>
          <w:lang w:eastAsia="zh-CN"/>
        </w:rPr>
        <w:t>及进度款审核工作。</w:t>
      </w:r>
      <w:r>
        <w:rPr>
          <w:rFonts w:hint="eastAsia" w:ascii="宋体" w:hAnsi="宋体" w:eastAsia="宋体" w:cs="宋体"/>
          <w:b/>
          <w:color w:val="000000"/>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w:t>
      </w: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服务要求</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000000"/>
          <w:sz w:val="24"/>
          <w:szCs w:val="24"/>
          <w:highlight w:val="none"/>
          <w:lang w:eastAsia="zh-CN"/>
        </w:rPr>
      </w:pPr>
      <w:r>
        <w:rPr>
          <w:rFonts w:hint="eastAsia" w:ascii="宋体" w:hAnsi="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lang w:val="en-US" w:eastAsia="zh-CN"/>
        </w:rPr>
        <w:t>.1</w:t>
      </w:r>
      <w:r>
        <w:rPr>
          <w:rFonts w:hint="eastAsia" w:ascii="宋体" w:hAnsi="宋体" w:eastAsia="宋体" w:cs="宋体"/>
          <w:b/>
          <w:bCs w:val="0"/>
          <w:color w:val="000000"/>
          <w:sz w:val="24"/>
          <w:szCs w:val="24"/>
          <w:highlight w:val="none"/>
        </w:rPr>
        <w:t>人员要求：供应商需承诺配备团队人员中至少配有造价人员3名</w:t>
      </w:r>
      <w:r>
        <w:rPr>
          <w:rFonts w:hint="eastAsia" w:ascii="宋体" w:hAnsi="宋体" w:cs="宋体"/>
          <w:b/>
          <w:bCs w:val="0"/>
          <w:color w:val="000000"/>
          <w:sz w:val="24"/>
          <w:szCs w:val="24"/>
          <w:highlight w:val="none"/>
          <w:lang w:eastAsia="zh-CN"/>
        </w:rPr>
        <w:t>（</w:t>
      </w:r>
      <w:r>
        <w:rPr>
          <w:rFonts w:hint="eastAsia" w:ascii="宋体" w:hAnsi="宋体" w:cs="宋体"/>
          <w:b/>
          <w:bCs w:val="0"/>
          <w:color w:val="000000"/>
          <w:sz w:val="24"/>
          <w:szCs w:val="24"/>
          <w:highlight w:val="none"/>
          <w:lang w:val="en-US" w:eastAsia="zh-CN"/>
        </w:rPr>
        <w:t>其中至少1名人员专业类别为土木建筑工程、1名人员专业类别为安装工程</w:t>
      </w:r>
      <w:r>
        <w:rPr>
          <w:rFonts w:hint="eastAsia" w:ascii="宋体" w:hAnsi="宋体" w:cs="宋体"/>
          <w:b/>
          <w:bCs w:val="0"/>
          <w:color w:val="000000"/>
          <w:sz w:val="24"/>
          <w:szCs w:val="24"/>
          <w:highlight w:val="none"/>
          <w:lang w:eastAsia="zh-CN"/>
        </w:rPr>
        <w:t>）</w:t>
      </w:r>
      <w:r>
        <w:rPr>
          <w:rFonts w:hint="eastAsia" w:ascii="宋体" w:hAnsi="宋体" w:eastAsia="宋体" w:cs="宋体"/>
          <w:b/>
          <w:bCs w:val="0"/>
          <w:color w:val="000000"/>
          <w:sz w:val="24"/>
          <w:szCs w:val="24"/>
          <w:highlight w:val="none"/>
        </w:rPr>
        <w:t>，以及书面形式授权一名项目负责人负责履行合同、主持项目团队工作，且项目负责人必须持有一级注册造价工程师证书或原住建部造价工程师注册证书。</w:t>
      </w:r>
      <w:r>
        <w:rPr>
          <w:rFonts w:hint="eastAsia" w:ascii="宋体" w:hAnsi="宋体" w:eastAsia="宋体" w:cs="宋体"/>
          <w:b/>
          <w:bCs w:val="0"/>
          <w:color w:val="000000"/>
          <w:sz w:val="24"/>
          <w:szCs w:val="24"/>
          <w:highlight w:val="none"/>
          <w:lang w:val="en-US" w:eastAsia="zh-CN"/>
        </w:rPr>
        <w:t>供应商须在响应文件中提供</w:t>
      </w:r>
      <w:r>
        <w:rPr>
          <w:rFonts w:hint="eastAsia" w:ascii="宋体" w:hAnsi="宋体" w:eastAsia="宋体" w:cs="宋体"/>
          <w:b/>
          <w:bCs w:val="0"/>
          <w:color w:val="000000"/>
          <w:sz w:val="24"/>
          <w:szCs w:val="24"/>
          <w:highlight w:val="none"/>
        </w:rPr>
        <w:t>团队人员</w:t>
      </w:r>
      <w:r>
        <w:rPr>
          <w:rFonts w:hint="eastAsia" w:ascii="宋体" w:hAnsi="宋体" w:eastAsia="宋体" w:cs="宋体"/>
          <w:b/>
          <w:bCs w:val="0"/>
          <w:color w:val="000000"/>
          <w:sz w:val="24"/>
          <w:szCs w:val="24"/>
          <w:highlight w:val="none"/>
          <w:lang w:val="en-US" w:eastAsia="zh-CN"/>
        </w:rPr>
        <w:t>承诺函及项目负责人的授权函</w:t>
      </w:r>
      <w:r>
        <w:rPr>
          <w:rFonts w:hint="eastAsia" w:ascii="宋体" w:hAnsi="宋体" w:cs="宋体"/>
          <w:b/>
          <w:bCs w:val="0"/>
          <w:color w:val="000000"/>
          <w:sz w:val="24"/>
          <w:szCs w:val="24"/>
          <w:highlight w:val="none"/>
          <w:lang w:val="en-US" w:eastAsia="zh-CN"/>
        </w:rPr>
        <w:t>、相关证书复印件</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sz w:val="24"/>
          <w:szCs w:val="24"/>
          <w:highlight w:val="none"/>
          <w:vertAlign w:val="baseline"/>
          <w:lang w:eastAsia="zh-CN"/>
        </w:rPr>
        <w:t>未提供或提供不齐全的按无效响应处理</w:t>
      </w:r>
      <w:r>
        <w:rPr>
          <w:rFonts w:hint="eastAsia" w:ascii="宋体" w:hAnsi="宋体" w:eastAsia="宋体" w:cs="宋体"/>
          <w:b/>
          <w:bCs w:val="0"/>
          <w:color w:val="000000"/>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.2在项目履行过程中，供应商</w:t>
      </w:r>
      <w:r>
        <w:rPr>
          <w:rFonts w:hint="eastAsia" w:ascii="宋体" w:hAnsi="宋体" w:eastAsia="宋体" w:cs="宋体"/>
          <w:color w:val="000000"/>
          <w:sz w:val="24"/>
          <w:szCs w:val="24"/>
          <w:highlight w:val="none"/>
          <w:lang w:val="en-US" w:eastAsia="zh-CN"/>
        </w:rPr>
        <w:t>工作人员</w:t>
      </w:r>
      <w:r>
        <w:rPr>
          <w:rFonts w:hint="eastAsia" w:ascii="宋体" w:hAnsi="宋体" w:eastAsia="宋体" w:cs="宋体"/>
          <w:color w:val="000000"/>
          <w:sz w:val="24"/>
          <w:szCs w:val="24"/>
          <w:highlight w:val="none"/>
        </w:rPr>
        <w:t>应保持相对稳定，以保证</w:t>
      </w:r>
      <w:r>
        <w:rPr>
          <w:rFonts w:hint="eastAsia" w:ascii="宋体" w:hAnsi="宋体" w:eastAsia="宋体" w:cs="宋体"/>
          <w:color w:val="000000"/>
          <w:sz w:val="24"/>
          <w:szCs w:val="24"/>
          <w:highlight w:val="none"/>
          <w:lang w:val="en-US" w:eastAsia="zh-CN"/>
        </w:rPr>
        <w:t>结算审核</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工作正常进行。供应商可根据工程进展和工作需要等情形调整项目团队人员，但更换项目负责人时，应提前7日向采购人书面报告，经采购人同意后方可更换。更换项目团队其他人员时，应提前3日向采购人书面报告，</w:t>
      </w:r>
      <w:r>
        <w:rPr>
          <w:rFonts w:hint="eastAsia" w:ascii="宋体" w:hAnsi="宋体" w:eastAsia="宋体" w:cs="宋体"/>
          <w:bCs/>
          <w:color w:val="000000"/>
          <w:sz w:val="24"/>
          <w:szCs w:val="24"/>
          <w:highlight w:val="none"/>
        </w:rPr>
        <w:t>经采购人同意后以不低于同等资格与能力的人员替换</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.3</w:t>
      </w:r>
      <w:r>
        <w:rPr>
          <w:rFonts w:hint="eastAsia" w:ascii="宋体" w:hAnsi="宋体" w:eastAsia="宋体" w:cs="宋体"/>
          <w:color w:val="000000"/>
          <w:kern w:val="0"/>
          <w:sz w:val="24"/>
          <w:szCs w:val="24"/>
          <w:highlight w:val="none"/>
          <w:lang w:val="en-US" w:eastAsia="zh-CN"/>
        </w:rPr>
        <w:t>结算审核</w:t>
      </w:r>
      <w:r>
        <w:rPr>
          <w:rFonts w:hint="eastAsia" w:ascii="宋体" w:hAnsi="宋体" w:eastAsia="宋体" w:cs="宋体"/>
          <w:color w:val="000000"/>
          <w:kern w:val="0"/>
          <w:sz w:val="24"/>
          <w:szCs w:val="24"/>
          <w:highlight w:val="none"/>
          <w:lang w:val="zh-CN"/>
        </w:rPr>
        <w:t>服务人员有下列情形之一，委托人要求预算编制服务人更换的，</w:t>
      </w:r>
      <w:r>
        <w:rPr>
          <w:rFonts w:hint="eastAsia" w:ascii="宋体" w:hAnsi="宋体" w:eastAsia="宋体" w:cs="宋体"/>
          <w:color w:val="000000"/>
          <w:sz w:val="24"/>
          <w:szCs w:val="24"/>
          <w:highlight w:val="none"/>
        </w:rPr>
        <w:t>成交供应商</w:t>
      </w:r>
      <w:r>
        <w:rPr>
          <w:rFonts w:hint="eastAsia" w:ascii="宋体" w:hAnsi="宋体" w:eastAsia="宋体" w:cs="宋体"/>
          <w:color w:val="000000"/>
          <w:kern w:val="0"/>
          <w:sz w:val="24"/>
          <w:szCs w:val="24"/>
          <w:highlight w:val="none"/>
          <w:lang w:val="zh-CN"/>
        </w:rPr>
        <w:t>应当更换：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（1）存在严重过失行为的；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（2）存在违法行为不能履行职责的；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（3）涉嫌犯罪的；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（4）不能胜任岗位职责的；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（5）严重违反职业道德的；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（6）专用条件约定的其他情形。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.4</w:t>
      </w:r>
      <w:r>
        <w:rPr>
          <w:rFonts w:hint="eastAsia" w:ascii="宋体" w:hAnsi="宋体" w:eastAsia="宋体" w:cs="宋体"/>
          <w:color w:val="000000"/>
          <w:kern w:val="0"/>
          <w:sz w:val="24"/>
          <w:szCs w:val="24"/>
          <w:highlight w:val="none"/>
          <w:lang w:val="en-US" w:eastAsia="zh-CN"/>
        </w:rPr>
        <w:t>结算审核</w:t>
      </w:r>
      <w:r>
        <w:rPr>
          <w:rFonts w:hint="eastAsia" w:ascii="宋体" w:hAnsi="宋体" w:eastAsia="宋体" w:cs="宋体"/>
          <w:color w:val="000000"/>
          <w:kern w:val="0"/>
          <w:sz w:val="24"/>
          <w:szCs w:val="24"/>
          <w:highlight w:val="none"/>
          <w:lang w:val="zh-CN"/>
        </w:rPr>
        <w:t>服务人员专业应涵盖委托预算</w:t>
      </w:r>
      <w:r>
        <w:rPr>
          <w:rFonts w:hint="eastAsia" w:ascii="宋体" w:hAnsi="宋体" w:eastAsia="宋体" w:cs="宋体"/>
          <w:color w:val="000000"/>
          <w:kern w:val="0"/>
          <w:sz w:val="24"/>
          <w:szCs w:val="24"/>
          <w:highlight w:val="none"/>
          <w:lang w:val="en-US" w:eastAsia="zh-CN"/>
        </w:rPr>
        <w:t>审核</w:t>
      </w:r>
      <w:r>
        <w:rPr>
          <w:rFonts w:hint="eastAsia" w:ascii="宋体" w:hAnsi="宋体" w:eastAsia="宋体" w:cs="宋体"/>
          <w:color w:val="000000"/>
          <w:kern w:val="0"/>
          <w:sz w:val="24"/>
          <w:szCs w:val="24"/>
          <w:highlight w:val="none"/>
          <w:lang w:val="zh-CN"/>
        </w:rPr>
        <w:t>服务项目各专业</w:t>
      </w:r>
      <w:r>
        <w:rPr>
          <w:rFonts w:hint="eastAsia" w:hAnsi="宋体" w:cs="宋体"/>
          <w:color w:val="000000"/>
          <w:sz w:val="24"/>
          <w:szCs w:val="24"/>
          <w:highlight w:val="none"/>
          <w:lang w:eastAsia="zh-CN"/>
        </w:rPr>
        <w:t>，</w:t>
      </w:r>
      <w:r>
        <w:rPr>
          <w:rFonts w:hint="eastAsia" w:ascii="宋体" w:hAnsi="宋体" w:eastAsia="宋体" w:cs="宋体"/>
          <w:color w:val="000000"/>
          <w:kern w:val="0"/>
          <w:sz w:val="24"/>
          <w:szCs w:val="24"/>
          <w:highlight w:val="none"/>
          <w:lang w:val="en-US" w:eastAsia="zh-CN"/>
        </w:rPr>
        <w:t>成交供应商</w:t>
      </w:r>
      <w:r>
        <w:rPr>
          <w:rFonts w:hint="eastAsia" w:ascii="宋体" w:hAnsi="宋体" w:eastAsia="宋体" w:cs="宋体"/>
          <w:color w:val="000000"/>
          <w:kern w:val="0"/>
          <w:sz w:val="24"/>
          <w:szCs w:val="24"/>
          <w:highlight w:val="none"/>
          <w:lang w:val="zh-CN"/>
        </w:rPr>
        <w:t>应根据</w:t>
      </w:r>
      <w:r>
        <w:rPr>
          <w:rFonts w:hint="eastAsia" w:ascii="宋体" w:hAnsi="宋体" w:cs="宋体"/>
          <w:color w:val="000000"/>
          <w:kern w:val="0"/>
          <w:sz w:val="24"/>
          <w:szCs w:val="24"/>
          <w:highlight w:val="none"/>
          <w:lang w:val="en-US" w:eastAsia="zh-CN"/>
        </w:rPr>
        <w:t>结算</w:t>
      </w:r>
      <w:r>
        <w:rPr>
          <w:rFonts w:hint="eastAsia" w:hAnsi="宋体" w:cs="宋体"/>
          <w:color w:val="000000"/>
          <w:kern w:val="0"/>
          <w:sz w:val="24"/>
          <w:szCs w:val="24"/>
          <w:highlight w:val="none"/>
          <w:lang w:val="en-US" w:eastAsia="zh-CN"/>
        </w:rPr>
        <w:t>审核</w:t>
      </w:r>
      <w:r>
        <w:rPr>
          <w:rFonts w:hint="eastAsia" w:ascii="宋体" w:hAnsi="宋体" w:eastAsia="宋体" w:cs="宋体"/>
          <w:color w:val="000000"/>
          <w:kern w:val="0"/>
          <w:sz w:val="24"/>
          <w:szCs w:val="24"/>
          <w:highlight w:val="none"/>
          <w:lang w:val="zh-CN"/>
        </w:rPr>
        <w:t>服务要求增派有关专业人员并且随叫随到，不得以人员不足为理由不按要求完成</w:t>
      </w:r>
      <w:r>
        <w:rPr>
          <w:rFonts w:hint="eastAsia" w:ascii="宋体" w:hAnsi="宋体" w:cs="宋体"/>
          <w:color w:val="000000"/>
          <w:kern w:val="0"/>
          <w:sz w:val="24"/>
          <w:szCs w:val="24"/>
          <w:highlight w:val="none"/>
          <w:lang w:val="en-US" w:eastAsia="zh-CN"/>
        </w:rPr>
        <w:t>结算</w:t>
      </w:r>
      <w:r>
        <w:rPr>
          <w:rFonts w:hint="eastAsia" w:hAnsi="宋体" w:cs="宋体"/>
          <w:color w:val="000000"/>
          <w:kern w:val="0"/>
          <w:sz w:val="24"/>
          <w:szCs w:val="24"/>
          <w:highlight w:val="none"/>
          <w:lang w:val="en-US" w:eastAsia="zh-CN"/>
        </w:rPr>
        <w:t>审核</w:t>
      </w:r>
      <w:r>
        <w:rPr>
          <w:rFonts w:hint="eastAsia" w:ascii="宋体" w:hAnsi="宋体" w:eastAsia="宋体" w:cs="宋体"/>
          <w:color w:val="000000"/>
          <w:kern w:val="0"/>
          <w:sz w:val="24"/>
          <w:szCs w:val="24"/>
          <w:highlight w:val="none"/>
          <w:lang w:val="zh-CN"/>
        </w:rPr>
        <w:t>服务工作，亦不得以加派人员或加班等为由要求委托人额外支付费用。若出现</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lang w:val="zh-CN"/>
        </w:rPr>
        <w:t>人员工作中推三阻四，相互扯皮影响正常工作的行为，委托人有权向</w:t>
      </w:r>
      <w:r>
        <w:rPr>
          <w:rFonts w:hint="eastAsia" w:ascii="宋体" w:hAnsi="宋体" w:eastAsia="宋体" w:cs="宋体"/>
          <w:color w:val="000000"/>
          <w:kern w:val="0"/>
          <w:sz w:val="24"/>
          <w:szCs w:val="24"/>
          <w:highlight w:val="none"/>
          <w:lang w:val="en-US" w:eastAsia="zh-CN"/>
        </w:rPr>
        <w:t>成交供应商</w:t>
      </w:r>
      <w:r>
        <w:rPr>
          <w:rFonts w:hint="eastAsia" w:ascii="宋体" w:hAnsi="宋体" w:eastAsia="宋体" w:cs="宋体"/>
          <w:color w:val="000000"/>
          <w:kern w:val="0"/>
          <w:sz w:val="24"/>
          <w:szCs w:val="24"/>
          <w:highlight w:val="none"/>
          <w:lang w:val="zh-CN"/>
        </w:rPr>
        <w:t>提出更换人员的要求</w:t>
      </w:r>
      <w:r>
        <w:rPr>
          <w:rFonts w:hint="eastAsia" w:hAnsi="宋体" w:cs="宋体"/>
          <w:color w:val="000000"/>
          <w:kern w:val="0"/>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.5向采购人提供有关资料的时间：根据具体委托项目内容双方在委托协议中另行商定，但在委托协议生效并在收到采购人提供的完整资料后，委托项目完成</w:t>
      </w:r>
      <w:r>
        <w:rPr>
          <w:rFonts w:hint="eastAsia" w:ascii="宋体" w:hAnsi="宋体" w:eastAsia="宋体" w:cs="宋体"/>
          <w:color w:val="000000"/>
          <w:sz w:val="24"/>
          <w:szCs w:val="24"/>
          <w:highlight w:val="none"/>
          <w:lang w:val="en-US" w:eastAsia="zh-CN"/>
        </w:rPr>
        <w:t>结算审核</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并向采购人提供有关资料的时间不得超过1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质量标准：工程造价</w:t>
      </w:r>
      <w:r>
        <w:rPr>
          <w:rFonts w:hint="eastAsia" w:ascii="宋体" w:hAnsi="宋体" w:eastAsia="宋体" w:cs="宋体"/>
          <w:color w:val="000000"/>
          <w:sz w:val="24"/>
          <w:szCs w:val="24"/>
          <w:highlight w:val="none"/>
          <w:lang w:eastAsia="zh-CN"/>
        </w:rPr>
        <w:t>预算编制服务</w:t>
      </w:r>
      <w:r>
        <w:rPr>
          <w:rFonts w:hint="eastAsia" w:ascii="宋体" w:hAnsi="宋体" w:eastAsia="宋体" w:cs="宋体"/>
          <w:color w:val="000000"/>
          <w:sz w:val="24"/>
          <w:szCs w:val="24"/>
          <w:highlight w:val="none"/>
        </w:rPr>
        <w:t>成果文件应符合《建设工程造价咨询成果文件质量标准》CECA／GC7-2012及相关法律法规及行业规范。</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.7出具的成果文件要求：满足招标要求的纸质、电子档的</w:t>
      </w:r>
      <w:r>
        <w:rPr>
          <w:rFonts w:hint="eastAsia" w:ascii="宋体" w:hAnsi="宋体" w:cs="宋体"/>
          <w:color w:val="000000"/>
          <w:sz w:val="24"/>
          <w:szCs w:val="24"/>
          <w:highlight w:val="none"/>
          <w:lang w:val="en-US" w:eastAsia="zh-CN"/>
        </w:rPr>
        <w:t>造价咨询成果文件</w:t>
      </w:r>
      <w:r>
        <w:rPr>
          <w:rFonts w:hint="eastAsia" w:ascii="宋体" w:hAnsi="宋体" w:eastAsia="宋体" w:cs="宋体"/>
          <w:color w:val="000000"/>
          <w:sz w:val="24"/>
          <w:szCs w:val="24"/>
          <w:highlight w:val="none"/>
        </w:rPr>
        <w:t>各6套。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.7.1纸质资料包括：工程量清单、控制价、项目总投资汇总表（含工程建设其他费）、工程量计算书（需按层统计、汇总）等；</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.7.2电子档包括：与纸质内容相对应文档的预算软件格式、XML格式、EXCEL格式等。</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.7.3成交供应商须向采购人提供省、市有关规定招标时需要发布的下列相关数据；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采用经评审最低价评标办法须发布的①影响工程质量安全的基础、主体结构等主要分部分项工程及其预算造价的综合单价；②影响工程质量安全的脚手架、混凝土及钢筋混凝土模板、垂直运输机械、土方支护结构等措施项目及其预算造价的费用；③工程预算造价中环境保护费、文明施工费、安全施工费、临时设施费、大型机械检测费、优良工程施工增加费金额；④影响工程质量安全的钢材、商品混凝土、门窗、水泥、预制桩等主要材料、设备及其预算造价的单价等相关内容。</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（2）采用综合评估法评标办法须发布的工程预算造价中环境保护费、文明施工费、安全施工费、临时设施费、大型机械检测费、优良工程施工增加费金额等相关内容。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双方约定的采购人应提供的建设工程造价</w:t>
      </w:r>
      <w:r>
        <w:rPr>
          <w:rFonts w:hint="eastAsia" w:ascii="宋体" w:hAnsi="宋体" w:cs="宋体"/>
          <w:color w:val="000000"/>
          <w:sz w:val="24"/>
          <w:szCs w:val="24"/>
          <w:highlight w:val="none"/>
          <w:lang w:val="en-US" w:eastAsia="zh-CN"/>
        </w:rPr>
        <w:t>结算审核</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材料及提供时间：</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成交供应商应在收到采购人提交的图纸等资料文件后立即展开</w:t>
      </w:r>
      <w:r>
        <w:rPr>
          <w:rFonts w:hint="eastAsia" w:ascii="宋体" w:hAnsi="宋体" w:cs="宋体"/>
          <w:color w:val="000000"/>
          <w:sz w:val="24"/>
          <w:szCs w:val="24"/>
          <w:highlight w:val="none"/>
          <w:lang w:val="en-US" w:eastAsia="zh-CN"/>
        </w:rPr>
        <w:t>结算审核</w:t>
      </w:r>
      <w:r>
        <w:rPr>
          <w:rFonts w:hint="eastAsia" w:ascii="宋体" w:hAnsi="宋体" w:eastAsia="宋体" w:cs="宋体"/>
          <w:color w:val="000000"/>
          <w:sz w:val="24"/>
          <w:szCs w:val="24"/>
          <w:highlight w:val="none"/>
        </w:rPr>
        <w:t>服务工作，若对所提供的资料存在疑义或不完善之处，应在3日内一次性将问题书面回复采购人，同时提交</w:t>
      </w:r>
      <w:r>
        <w:rPr>
          <w:rFonts w:hint="eastAsia" w:ascii="宋体" w:hAnsi="宋体" w:eastAsia="宋体" w:cs="宋体"/>
          <w:color w:val="000000"/>
          <w:sz w:val="24"/>
          <w:szCs w:val="24"/>
          <w:highlight w:val="none"/>
          <w:lang w:eastAsia="zh-CN"/>
        </w:rPr>
        <w:t>造价</w:t>
      </w:r>
      <w:r>
        <w:rPr>
          <w:rFonts w:hint="eastAsia" w:ascii="宋体" w:hAnsi="宋体" w:eastAsia="宋体" w:cs="宋体"/>
          <w:color w:val="000000"/>
          <w:sz w:val="24"/>
          <w:szCs w:val="24"/>
          <w:highlight w:val="none"/>
        </w:rPr>
        <w:t>单位并与其沟通；采购人应在3日内对成交供应商书面提交并要求做出答复的事宜做出书面答复。</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未经采购人许可，成交供应商不得向第三人泄露采购人提供的任何资料，亦不得泄露与实施工程有关的第三人所提供的保密资料。</w:t>
      </w:r>
    </w:p>
    <w:p>
      <w:pPr>
        <w:pStyle w:val="28"/>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p>
    <w:p>
      <w:pPr>
        <w:keepNext w:val="0"/>
        <w:keepLines w:val="0"/>
        <w:pageBreakBefore w:val="0"/>
        <w:widowControl/>
        <w:kinsoku/>
        <w:wordWrap/>
        <w:overflowPunct/>
        <w:topLinePunct w:val="0"/>
        <w:bidi w:val="0"/>
        <w:snapToGrid/>
        <w:spacing w:line="360" w:lineRule="auto"/>
        <w:jc w:val="left"/>
        <w:textAlignment w:val="auto"/>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1.交付地点：福建省福州市高新区南屿镇新南大道156号</w:t>
      </w:r>
      <w:r>
        <w:rPr>
          <w:rFonts w:hint="eastAsia" w:ascii="宋体" w:hAnsi="宋体" w:cs="宋体"/>
          <w:b/>
          <w:bCs/>
          <w:color w:val="auto"/>
          <w:kern w:val="0"/>
          <w:sz w:val="24"/>
          <w:highlight w:val="none"/>
          <w:lang w:eastAsia="zh-CN"/>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：合同签订后，成交供应商应在接采购人通知后10日内完成并交付。</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3.交付条件：接采购人通知之日起</w:t>
      </w:r>
      <w:r>
        <w:rPr>
          <w:rFonts w:hint="eastAsia" w:ascii="宋体" w:hAnsi="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lang w:val="en-US" w:eastAsia="zh-CN"/>
        </w:rPr>
        <w:t>日之内提交成果文件</w:t>
      </w:r>
      <w:r>
        <w:rPr>
          <w:rFonts w:hint="eastAsia" w:ascii="宋体" w:hAnsi="宋体" w:cs="宋体"/>
          <w:b/>
          <w:bCs/>
          <w:color w:val="auto"/>
          <w:kern w:val="0"/>
          <w:sz w:val="24"/>
          <w:highlight w:val="none"/>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eastAsia="zh-CN"/>
        </w:rPr>
        <w:t>是否缴纳</w:t>
      </w:r>
      <w:r>
        <w:rPr>
          <w:rFonts w:hint="eastAsia" w:ascii="宋体" w:hAnsi="宋体" w:cs="宋体"/>
          <w:b/>
          <w:bCs/>
          <w:color w:val="auto"/>
          <w:sz w:val="24"/>
          <w:highlight w:val="none"/>
        </w:rPr>
        <w:t>履约保证金：</w:t>
      </w:r>
      <w:r>
        <w:rPr>
          <w:rFonts w:hint="eastAsia" w:ascii="宋体" w:hAnsi="宋体" w:cs="宋体"/>
          <w:b/>
          <w:bCs/>
          <w:color w:val="auto"/>
          <w:sz w:val="24"/>
          <w:highlight w:val="none"/>
          <w:lang w:eastAsia="zh-CN"/>
        </w:rPr>
        <w:t>否。</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.支付方式：结算审核服务，在项目结算后并履行完相应义务，</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提出申请并提供正式增值税普通发票后</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个工作日内支付全部合同款。</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验收要求：采购人按网上竞价文件要求、成交供应商响应文件要求、以及行业有关标准、技术规范组织验收，若验收不能符合要求，采购人将按合同商务条款的有关规定执行。</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shd w:val="clear" w:color="auto" w:fill="FFFFFF"/>
        </w:rPr>
        <w:t>成交供应商必须按</w:t>
      </w:r>
      <w:r>
        <w:rPr>
          <w:rFonts w:hint="eastAsia" w:ascii="宋体" w:hAnsi="宋体" w:eastAsia="宋体" w:cs="宋体"/>
          <w:color w:val="000000"/>
          <w:sz w:val="24"/>
          <w:szCs w:val="24"/>
          <w:highlight w:val="none"/>
          <w:shd w:val="clear" w:color="auto" w:fill="FFFFFF"/>
          <w:lang w:val="en-US" w:eastAsia="zh-CN"/>
        </w:rPr>
        <w:t>响应</w:t>
      </w:r>
      <w:r>
        <w:rPr>
          <w:rFonts w:hint="eastAsia" w:ascii="宋体" w:hAnsi="宋体" w:eastAsia="宋体" w:cs="宋体"/>
          <w:color w:val="000000"/>
          <w:sz w:val="24"/>
          <w:szCs w:val="24"/>
          <w:highlight w:val="none"/>
          <w:shd w:val="clear" w:color="auto" w:fill="FFFFFF"/>
        </w:rPr>
        <w:t>文件所列</w:t>
      </w:r>
      <w:r>
        <w:rPr>
          <w:rFonts w:hint="eastAsia" w:ascii="宋体" w:hAnsi="宋体" w:eastAsia="宋体" w:cs="宋体"/>
          <w:color w:val="000000"/>
          <w:sz w:val="24"/>
          <w:szCs w:val="24"/>
          <w:highlight w:val="none"/>
          <w:shd w:val="clear" w:color="auto" w:fill="FFFFFF"/>
          <w:lang w:val="en-US" w:eastAsia="zh-CN"/>
        </w:rPr>
        <w:t>响应</w:t>
      </w:r>
      <w:r>
        <w:rPr>
          <w:rFonts w:hint="eastAsia" w:ascii="宋体" w:hAnsi="宋体" w:eastAsia="宋体" w:cs="宋体"/>
          <w:color w:val="000000"/>
          <w:sz w:val="24"/>
          <w:szCs w:val="24"/>
          <w:highlight w:val="none"/>
          <w:shd w:val="clear" w:color="auto" w:fill="FFFFFF"/>
        </w:rPr>
        <w:t>人员配备到位。在本合同履行过程中，人员应保持稳定，以保证</w:t>
      </w:r>
      <w:r>
        <w:rPr>
          <w:rFonts w:hint="eastAsia" w:ascii="宋体" w:hAnsi="宋体" w:eastAsia="宋体" w:cs="宋体"/>
          <w:color w:val="000000"/>
          <w:sz w:val="24"/>
          <w:szCs w:val="24"/>
          <w:highlight w:val="none"/>
          <w:shd w:val="clear" w:color="auto" w:fill="FFFFFF"/>
          <w:lang w:val="en-US" w:eastAsia="zh-CN"/>
        </w:rPr>
        <w:t>结算审核</w:t>
      </w:r>
      <w:r>
        <w:rPr>
          <w:rFonts w:hint="eastAsia" w:ascii="宋体" w:hAnsi="宋体" w:eastAsia="宋体" w:cs="宋体"/>
          <w:color w:val="000000"/>
          <w:sz w:val="24"/>
          <w:szCs w:val="24"/>
          <w:highlight w:val="none"/>
          <w:shd w:val="clear" w:color="auto" w:fill="FFFFFF"/>
        </w:rPr>
        <w:t>工作正常进行。若未经采购人同意更换项目负责人，每更换一人次扣减</w:t>
      </w:r>
      <w:r>
        <w:rPr>
          <w:rFonts w:hint="eastAsia" w:ascii="宋体" w:hAnsi="宋体" w:cs="宋体"/>
          <w:sz w:val="24"/>
          <w:szCs w:val="24"/>
          <w:highlight w:val="none"/>
          <w:lang w:val="en-US" w:eastAsia="zh-CN"/>
        </w:rPr>
        <w:t>合同金额的10%</w:t>
      </w:r>
      <w:r>
        <w:rPr>
          <w:rFonts w:hint="eastAsia" w:ascii="宋体" w:hAnsi="宋体" w:eastAsia="宋体" w:cs="宋体"/>
          <w:color w:val="000000"/>
          <w:sz w:val="24"/>
          <w:szCs w:val="24"/>
          <w:highlight w:val="none"/>
          <w:shd w:val="clear" w:color="auto" w:fill="FFFFFF"/>
        </w:rPr>
        <w:t>；未经采购人同意更换项目组其他人员，每更换一人扣减</w:t>
      </w:r>
      <w:r>
        <w:rPr>
          <w:rFonts w:hint="eastAsia" w:ascii="宋体" w:hAnsi="宋体" w:cs="宋体"/>
          <w:sz w:val="24"/>
          <w:szCs w:val="24"/>
          <w:highlight w:val="none"/>
          <w:lang w:val="en-US" w:eastAsia="zh-CN"/>
        </w:rPr>
        <w:t>合同金额的5%</w:t>
      </w:r>
      <w:r>
        <w:rPr>
          <w:rFonts w:hint="eastAsia" w:ascii="宋体" w:hAnsi="宋体" w:eastAsia="宋体" w:cs="宋体"/>
          <w:color w:val="00000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shd w:val="clear" w:color="auto" w:fill="FFFFFF"/>
        </w:rPr>
        <w:t>若成交供应商未能在合同约定时限内完成</w:t>
      </w:r>
      <w:r>
        <w:rPr>
          <w:rFonts w:hint="eastAsia" w:ascii="宋体" w:hAnsi="宋体" w:eastAsia="宋体" w:cs="宋体"/>
          <w:color w:val="000000"/>
          <w:sz w:val="24"/>
          <w:szCs w:val="24"/>
          <w:highlight w:val="none"/>
          <w:shd w:val="clear" w:color="auto" w:fill="FFFFFF"/>
          <w:lang w:val="en-US" w:eastAsia="zh-CN"/>
        </w:rPr>
        <w:t>审核</w:t>
      </w:r>
      <w:r>
        <w:rPr>
          <w:rFonts w:hint="eastAsia" w:ascii="宋体" w:hAnsi="宋体" w:eastAsia="宋体" w:cs="宋体"/>
          <w:color w:val="000000"/>
          <w:sz w:val="24"/>
          <w:szCs w:val="24"/>
          <w:highlight w:val="none"/>
          <w:shd w:val="clear" w:color="auto" w:fill="FFFFFF"/>
        </w:rPr>
        <w:t>任务时，</w:t>
      </w:r>
      <w:r>
        <w:rPr>
          <w:rFonts w:hint="eastAsia" w:ascii="宋体" w:hAnsi="宋体" w:eastAsia="宋体" w:cs="宋体"/>
          <w:color w:val="000000"/>
          <w:sz w:val="24"/>
          <w:szCs w:val="24"/>
          <w:highlight w:val="none"/>
          <w:shd w:val="clear" w:color="auto" w:fill="FFFFFF"/>
          <w:lang w:val="en-US" w:eastAsia="zh-CN"/>
        </w:rPr>
        <w:t>审核</w:t>
      </w:r>
      <w:r>
        <w:rPr>
          <w:rFonts w:hint="eastAsia" w:ascii="宋体" w:hAnsi="宋体" w:eastAsia="宋体" w:cs="宋体"/>
          <w:color w:val="000000"/>
          <w:sz w:val="24"/>
          <w:szCs w:val="24"/>
          <w:highlight w:val="none"/>
          <w:shd w:val="clear" w:color="auto" w:fill="FFFFFF"/>
        </w:rPr>
        <w:t>时限延误每增加一天，扣减</w:t>
      </w:r>
      <w:r>
        <w:rPr>
          <w:rFonts w:hint="eastAsia" w:ascii="宋体" w:hAnsi="宋体" w:cs="宋体"/>
          <w:sz w:val="24"/>
          <w:szCs w:val="24"/>
          <w:highlight w:val="none"/>
          <w:lang w:val="en-US" w:eastAsia="zh-CN"/>
        </w:rPr>
        <w:t>合同金额的2%</w:t>
      </w:r>
      <w:r>
        <w:rPr>
          <w:rFonts w:hint="eastAsia" w:ascii="宋体" w:hAnsi="宋体" w:eastAsia="宋体" w:cs="宋体"/>
          <w:color w:val="000000"/>
          <w:sz w:val="24"/>
          <w:szCs w:val="24"/>
          <w:highlight w:val="none"/>
          <w:shd w:val="clear" w:color="auto" w:fill="FFFFFF"/>
        </w:rPr>
        <w:t>；若发生延误，成交供应商需对延误事项进行说明，经采购人书面认可免除违约责任后，可不计扣减。</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shd w:val="clear" w:color="auto" w:fill="FFFFFF"/>
        </w:rPr>
        <w:t>成交供应商项目负责人或专业造价人员，应根据工程实际需求或应采购人要求，配合进行查看现场或参加工程相关会议。若未履行相关配合义务，经采购人通知后拒不改正的，则采购人有权对成交供应商处以</w:t>
      </w:r>
      <w:r>
        <w:rPr>
          <w:rFonts w:hint="eastAsia" w:ascii="宋体" w:hAnsi="宋体" w:cs="宋体"/>
          <w:sz w:val="24"/>
          <w:szCs w:val="24"/>
          <w:highlight w:val="none"/>
          <w:lang w:val="en-US" w:eastAsia="zh-CN"/>
        </w:rPr>
        <w:t>合同金额10%</w:t>
      </w:r>
      <w:r>
        <w:rPr>
          <w:rFonts w:hint="eastAsia" w:ascii="宋体" w:hAnsi="宋体" w:eastAsia="宋体" w:cs="宋体"/>
          <w:color w:val="000000"/>
          <w:sz w:val="24"/>
          <w:szCs w:val="24"/>
          <w:highlight w:val="none"/>
          <w:shd w:val="clear" w:color="auto" w:fill="FFFFFF"/>
        </w:rPr>
        <w:t>的违约金。</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.4</w:t>
      </w:r>
      <w:r>
        <w:rPr>
          <w:rFonts w:hint="eastAsia" w:ascii="宋体" w:hAnsi="宋体" w:eastAsia="宋体" w:cs="宋体"/>
          <w:color w:val="000000"/>
          <w:sz w:val="24"/>
          <w:szCs w:val="24"/>
          <w:highlight w:val="none"/>
          <w:shd w:val="clear" w:color="auto" w:fill="FFFFFF"/>
        </w:rPr>
        <w:t>采购人有权通过复审或聘请独立第三方审查等方式对成交供应商成果文件质量进行监督。对成交供应商成果文件出现误差率绝对值超过5%时，</w:t>
      </w:r>
      <w:r>
        <w:rPr>
          <w:rFonts w:hint="eastAsia" w:ascii="宋体" w:hAnsi="宋体" w:eastAsia="宋体" w:cs="宋体"/>
          <w:sz w:val="24"/>
          <w:szCs w:val="24"/>
          <w:highlight w:val="none"/>
        </w:rPr>
        <w:t>则采购人有权对成交供应商处以</w:t>
      </w:r>
      <w:r>
        <w:rPr>
          <w:rFonts w:hint="eastAsia" w:ascii="宋体" w:hAnsi="宋体" w:cs="宋体"/>
          <w:sz w:val="24"/>
          <w:szCs w:val="24"/>
          <w:highlight w:val="none"/>
          <w:lang w:val="en-US" w:eastAsia="zh-CN"/>
        </w:rPr>
        <w:t>合同金额10%</w:t>
      </w:r>
      <w:r>
        <w:rPr>
          <w:rFonts w:hint="eastAsia" w:ascii="宋体" w:hAnsi="宋体" w:eastAsia="宋体" w:cs="宋体"/>
          <w:sz w:val="24"/>
          <w:szCs w:val="24"/>
          <w:highlight w:val="none"/>
        </w:rPr>
        <w:t>的违约金</w:t>
      </w:r>
      <w:r>
        <w:rPr>
          <w:rFonts w:hint="eastAsia" w:ascii="宋体" w:hAnsi="宋体" w:eastAsia="宋体" w:cs="宋体"/>
          <w:color w:val="00000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shd w:val="clear" w:color="auto" w:fill="FFFFFF"/>
        </w:rPr>
        <w:t>若成交供应商未能按照本合同约定完成</w:t>
      </w:r>
      <w:r>
        <w:rPr>
          <w:rFonts w:hint="eastAsia" w:ascii="宋体" w:hAnsi="宋体" w:eastAsia="宋体" w:cs="宋体"/>
          <w:color w:val="000000"/>
          <w:sz w:val="24"/>
          <w:szCs w:val="24"/>
          <w:highlight w:val="none"/>
          <w:shd w:val="clear" w:color="auto" w:fill="FFFFFF"/>
          <w:lang w:val="en-US" w:eastAsia="zh-CN"/>
        </w:rPr>
        <w:t>审核</w:t>
      </w:r>
      <w:r>
        <w:rPr>
          <w:rFonts w:hint="eastAsia" w:ascii="宋体" w:hAnsi="宋体" w:eastAsia="宋体" w:cs="宋体"/>
          <w:color w:val="000000"/>
          <w:sz w:val="24"/>
          <w:szCs w:val="24"/>
          <w:highlight w:val="none"/>
          <w:shd w:val="clear" w:color="auto" w:fill="FFFFFF"/>
        </w:rPr>
        <w:t>工作的内容,</w:t>
      </w:r>
      <w:r>
        <w:rPr>
          <w:rFonts w:hint="eastAsia" w:ascii="宋体" w:hAnsi="宋体" w:cs="宋体"/>
          <w:sz w:val="24"/>
          <w:szCs w:val="24"/>
          <w:highlight w:val="none"/>
          <w:lang w:val="en-US" w:eastAsia="zh-CN"/>
        </w:rPr>
        <w:t>采购人有权解除合同，并有权向成交供应商索赔</w:t>
      </w:r>
      <w:r>
        <w:rPr>
          <w:rFonts w:hint="eastAsia" w:ascii="宋体" w:hAnsi="宋体" w:eastAsia="宋体" w:cs="宋体"/>
          <w:color w:val="00000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color w:val="000000"/>
          <w:sz w:val="24"/>
          <w:szCs w:val="24"/>
          <w:highlight w:val="none"/>
          <w:shd w:val="clear" w:color="auto" w:fill="FFFFFF"/>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w:t>
      </w:r>
      <w:r>
        <w:rPr>
          <w:rFonts w:hint="eastAsia" w:ascii="宋体" w:hAnsi="宋体" w:eastAsia="宋体" w:cs="宋体"/>
          <w:color w:val="000000"/>
          <w:sz w:val="24"/>
          <w:szCs w:val="24"/>
          <w:highlight w:val="none"/>
          <w:shd w:val="clear" w:color="auto" w:fill="FFFFFF"/>
        </w:rPr>
        <w:t>成交供应商出现下列情形时，采购人有权解除合同，不向成交供应商支付任何编制费用，同时有权要求成交供应商赔偿给采购人造成的损失。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.6.1接受可能影响公正执行职务的不当利益。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.6.2隐瞒采购人违反国家财经法纪行为。</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.6.3泄露采购人的商业秘密。</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.6.4与项目业主、代建、施工、监理、设计等单位串通舞弊。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.6.5</w:t>
      </w:r>
      <w:r>
        <w:rPr>
          <w:rFonts w:hint="eastAsia" w:ascii="宋体" w:hAnsi="宋体" w:eastAsia="宋体" w:cs="宋体"/>
          <w:color w:val="000000"/>
          <w:sz w:val="24"/>
          <w:szCs w:val="24"/>
          <w:highlight w:val="none"/>
          <w:shd w:val="clear" w:color="auto" w:fill="FFFFFF"/>
        </w:rPr>
        <w:t>成交供应商项目负责人或专业造价人员未能根据采购人的要求履行配合义务，累计发生3次及以上。</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.6.6</w:t>
      </w:r>
      <w:r>
        <w:rPr>
          <w:rFonts w:hint="eastAsia" w:ascii="宋体" w:hAnsi="宋体" w:eastAsia="宋体" w:cs="宋体"/>
          <w:color w:val="000000"/>
          <w:sz w:val="24"/>
          <w:szCs w:val="24"/>
          <w:highlight w:val="none"/>
          <w:shd w:val="clear" w:color="auto" w:fill="FFFFFF"/>
        </w:rPr>
        <w:t>成交供应商未能履行合同和</w:t>
      </w:r>
      <w:r>
        <w:rPr>
          <w:rFonts w:hint="eastAsia" w:ascii="宋体" w:hAnsi="宋体" w:eastAsia="宋体" w:cs="宋体"/>
          <w:color w:val="000000"/>
          <w:sz w:val="24"/>
          <w:szCs w:val="24"/>
          <w:highlight w:val="none"/>
          <w:shd w:val="clear" w:color="auto" w:fill="FFFFFF"/>
          <w:lang w:val="en-US" w:eastAsia="zh-CN"/>
        </w:rPr>
        <w:t>网上竞价</w:t>
      </w:r>
      <w:r>
        <w:rPr>
          <w:rFonts w:hint="eastAsia" w:ascii="宋体" w:hAnsi="宋体" w:eastAsia="宋体" w:cs="宋体"/>
          <w:color w:val="000000"/>
          <w:sz w:val="24"/>
          <w:szCs w:val="24"/>
          <w:highlight w:val="none"/>
          <w:shd w:val="clear" w:color="auto" w:fill="FFFFFF"/>
        </w:rPr>
        <w:t>文件、</w:t>
      </w:r>
      <w:r>
        <w:rPr>
          <w:rFonts w:hint="eastAsia" w:ascii="宋体" w:hAnsi="宋体" w:eastAsia="宋体" w:cs="宋体"/>
          <w:color w:val="000000"/>
          <w:sz w:val="24"/>
          <w:szCs w:val="24"/>
          <w:highlight w:val="none"/>
          <w:shd w:val="clear" w:color="auto" w:fill="FFFFFF"/>
          <w:lang w:val="en-US" w:eastAsia="zh-CN"/>
        </w:rPr>
        <w:t>响应</w:t>
      </w:r>
      <w:r>
        <w:rPr>
          <w:rFonts w:hint="eastAsia" w:ascii="宋体" w:hAnsi="宋体" w:eastAsia="宋体" w:cs="宋体"/>
          <w:color w:val="000000"/>
          <w:sz w:val="24"/>
          <w:szCs w:val="24"/>
          <w:highlight w:val="none"/>
          <w:shd w:val="clear" w:color="auto" w:fill="FFFFFF"/>
        </w:rPr>
        <w:t>文件规定的其他任何义务和承诺，采购人发出的违约通知后30天内（或经采购人书面确定的更长时间内）仍未纠正的。</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.7其他违法违规违纪行为：</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.7.1因成交供应商违反法律规定或合同约定给采购人造成损失的，成交供应商应当赔偿采购人全部损失。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.7.2若成交供应商单方面解除合同，则采购人有权要求成交供应商按合同总额的10%支付违约金，违约金不足以弥补采购人损失的，成交供应商还应赔偿采购人全部损失。</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.8进入行政区有关违约责任</w:t>
      </w:r>
    </w:p>
    <w:p>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人进入采购人行政区的工作人员必须遵守采购人的工作制度和相关的规定，服从采购人人员的指挥。不得随意进出行政办公楼民警办公室或规定的其他禁止进入区域，若有发现经核查属实的，成交人须马上更换工作人员，情节严重的应承担相应的法律责任。发生二次（含）以上或造成严重后果的，采购人有权单方解除合同并不退还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4"/>
          <w:rFonts w:hint="eastAsia"/>
          <w:color w:val="auto"/>
          <w:highlight w:val="none"/>
        </w:rPr>
        <w:t>.诉讼相关费用承担：</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lang w:val="zh-TW"/>
        </w:rPr>
        <w:t>不可抗力</w:t>
      </w:r>
      <w:r>
        <w:rPr>
          <w:rFonts w:hint="eastAsia"/>
          <w:b/>
          <w:bCs/>
          <w:color w:val="auto"/>
          <w:highlight w:val="none"/>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10</w:t>
      </w:r>
      <w:r>
        <w:rPr>
          <w:rStyle w:val="24"/>
          <w:rFonts w:hint="eastAsia"/>
          <w:color w:val="auto"/>
          <w:highlight w:val="none"/>
        </w:rPr>
        <w:t>.专利权及知识产权：</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Style w:val="24"/>
          <w:rFonts w:hint="eastAsia"/>
          <w:b w:val="0"/>
          <w:bCs w:val="0"/>
          <w:color w:val="auto"/>
          <w:highlight w:val="none"/>
        </w:rPr>
      </w:pPr>
      <w:r>
        <w:rPr>
          <w:rStyle w:val="24"/>
          <w:rFonts w:hint="eastAsia"/>
          <w:b w:val="0"/>
          <w:bCs w:val="0"/>
          <w:color w:val="auto"/>
          <w:highlight w:val="none"/>
        </w:rPr>
        <w:t>成交供应商提供的服务中有涉及知识产权的部分应符合国家知识产权法律、法规的规定；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.保密条款：</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6"/>
              <w:wordWrap w:val="0"/>
              <w:spacing w:beforeAutospacing="0" w:afterAutospacing="0" w:line="360" w:lineRule="auto"/>
              <w:jc w:val="center"/>
              <w:rPr>
                <w:color w:val="auto"/>
                <w:highlight w:val="none"/>
              </w:rPr>
            </w:pPr>
          </w:p>
        </w:tc>
        <w:tc>
          <w:tcPr>
            <w:tcW w:w="954" w:type="pct"/>
            <w:vAlign w:val="center"/>
          </w:tcPr>
          <w:p>
            <w:pPr>
              <w:pStyle w:val="16"/>
              <w:wordWrap w:val="0"/>
              <w:spacing w:beforeAutospacing="0" w:afterAutospacing="0" w:line="360" w:lineRule="auto"/>
              <w:jc w:val="center"/>
              <w:rPr>
                <w:color w:val="auto"/>
                <w:highlight w:val="none"/>
              </w:rPr>
            </w:pPr>
          </w:p>
        </w:tc>
        <w:tc>
          <w:tcPr>
            <w:tcW w:w="354"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8"/>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0"/>
        <w:spacing w:line="360" w:lineRule="auto"/>
        <w:rPr>
          <w:color w:val="auto"/>
          <w:sz w:val="24"/>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7"/>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9"/>
        <w:spacing w:line="360" w:lineRule="auto"/>
        <w:ind w:firstLine="210"/>
        <w:rPr>
          <w:color w:val="auto"/>
          <w:highlight w:val="none"/>
        </w:rPr>
      </w:pPr>
    </w:p>
    <w:p>
      <w:pPr>
        <w:pStyle w:val="5"/>
        <w:spacing w:line="360" w:lineRule="auto"/>
        <w:rPr>
          <w:color w:val="auto"/>
          <w:highlight w:val="none"/>
        </w:rPr>
      </w:pPr>
    </w:p>
    <w:p>
      <w:pPr>
        <w:pStyle w:val="9"/>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4"/>
                <w:rFonts w:hint="eastAsia"/>
                <w:color w:val="auto"/>
                <w:highlight w:val="none"/>
              </w:rPr>
              <w:t> </w:t>
            </w:r>
          </w:p>
          <w:p>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0"/>
        <w:spacing w:line="360" w:lineRule="auto"/>
        <w:rPr>
          <w:color w:val="auto"/>
          <w:highlight w:val="none"/>
        </w:rPr>
      </w:pPr>
    </w:p>
    <w:p>
      <w:pPr>
        <w:rPr>
          <w:color w:val="auto"/>
          <w:highlight w:val="none"/>
        </w:rPr>
      </w:pPr>
      <w:r>
        <w:rPr>
          <w:color w:val="auto"/>
          <w:highlight w:val="none"/>
        </w:rPr>
        <w:br w:type="page"/>
      </w:r>
    </w:p>
    <w:p>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534"/>
        <w:gridCol w:w="1576"/>
        <w:gridCol w:w="1343"/>
        <w:gridCol w:w="200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7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79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7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08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75" w:type="pct"/>
            <w:vAlign w:val="center"/>
          </w:tcPr>
          <w:p>
            <w:pPr>
              <w:snapToGrid w:val="0"/>
              <w:spacing w:line="360" w:lineRule="auto"/>
              <w:jc w:val="center"/>
              <w:rPr>
                <w:rFonts w:ascii="宋体" w:hAnsi="宋体"/>
                <w:color w:val="auto"/>
                <w:sz w:val="24"/>
                <w:highlight w:val="none"/>
              </w:rPr>
            </w:pPr>
          </w:p>
        </w:tc>
        <w:tc>
          <w:tcPr>
            <w:tcW w:w="770" w:type="pct"/>
            <w:vAlign w:val="center"/>
          </w:tcPr>
          <w:p>
            <w:pPr>
              <w:snapToGrid w:val="0"/>
              <w:spacing w:line="360" w:lineRule="auto"/>
              <w:jc w:val="center"/>
              <w:rPr>
                <w:rFonts w:ascii="宋体" w:hAnsi="宋体"/>
                <w:color w:val="auto"/>
                <w:sz w:val="24"/>
                <w:highlight w:val="none"/>
              </w:rPr>
            </w:pPr>
          </w:p>
        </w:tc>
        <w:tc>
          <w:tcPr>
            <w:tcW w:w="791" w:type="pct"/>
            <w:vAlign w:val="center"/>
          </w:tcPr>
          <w:p>
            <w:pPr>
              <w:snapToGrid w:val="0"/>
              <w:spacing w:line="360" w:lineRule="auto"/>
              <w:jc w:val="center"/>
              <w:rPr>
                <w:rFonts w:ascii="宋体" w:hAnsi="宋体"/>
                <w:color w:val="auto"/>
                <w:sz w:val="24"/>
                <w:highlight w:val="none"/>
              </w:rPr>
            </w:pPr>
          </w:p>
        </w:tc>
        <w:tc>
          <w:tcPr>
            <w:tcW w:w="674" w:type="pct"/>
            <w:vAlign w:val="center"/>
          </w:tcPr>
          <w:p>
            <w:pPr>
              <w:snapToGrid w:val="0"/>
              <w:spacing w:line="360" w:lineRule="auto"/>
              <w:jc w:val="center"/>
              <w:rPr>
                <w:rFonts w:ascii="宋体" w:hAnsi="宋体"/>
                <w:color w:val="auto"/>
                <w:sz w:val="24"/>
                <w:highlight w:val="none"/>
              </w:rPr>
            </w:pPr>
          </w:p>
        </w:tc>
        <w:tc>
          <w:tcPr>
            <w:tcW w:w="1005" w:type="pct"/>
            <w:vAlign w:val="center"/>
          </w:tcPr>
          <w:p>
            <w:pPr>
              <w:snapToGrid w:val="0"/>
              <w:spacing w:line="360" w:lineRule="auto"/>
              <w:jc w:val="center"/>
              <w:rPr>
                <w:rFonts w:ascii="宋体" w:hAnsi="宋体" w:cs="宋体"/>
                <w:color w:val="auto"/>
                <w:kern w:val="0"/>
                <w:sz w:val="24"/>
                <w:highlight w:val="none"/>
              </w:rPr>
            </w:pPr>
          </w:p>
        </w:tc>
        <w:tc>
          <w:tcPr>
            <w:tcW w:w="1082"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57"/>
        <w:gridCol w:w="2122"/>
        <w:gridCol w:w="1385"/>
        <w:gridCol w:w="1736"/>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69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9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5" w:type="pct"/>
            <w:vAlign w:val="center"/>
          </w:tcPr>
          <w:p>
            <w:pPr>
              <w:snapToGrid w:val="0"/>
              <w:spacing w:line="360" w:lineRule="auto"/>
              <w:jc w:val="center"/>
              <w:rPr>
                <w:rFonts w:ascii="宋体" w:hAnsi="宋体"/>
                <w:color w:val="auto"/>
                <w:sz w:val="24"/>
                <w:highlight w:val="none"/>
              </w:rPr>
            </w:pPr>
          </w:p>
        </w:tc>
        <w:tc>
          <w:tcPr>
            <w:tcW w:w="430"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1" w:type="pct"/>
            <w:vAlign w:val="center"/>
          </w:tcPr>
          <w:p>
            <w:pPr>
              <w:snapToGrid w:val="0"/>
              <w:spacing w:line="360" w:lineRule="auto"/>
              <w:jc w:val="center"/>
              <w:rPr>
                <w:rFonts w:ascii="宋体" w:hAnsi="宋体" w:cs="宋体"/>
                <w:color w:val="auto"/>
                <w:kern w:val="0"/>
                <w:sz w:val="24"/>
                <w:highlight w:val="none"/>
              </w:rPr>
            </w:pPr>
          </w:p>
        </w:tc>
        <w:tc>
          <w:tcPr>
            <w:tcW w:w="1491"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5" w:type="pct"/>
            <w:vAlign w:val="center"/>
          </w:tcPr>
          <w:p>
            <w:pPr>
              <w:snapToGrid w:val="0"/>
              <w:spacing w:line="360" w:lineRule="auto"/>
              <w:jc w:val="center"/>
              <w:rPr>
                <w:rFonts w:ascii="宋体" w:hAnsi="宋体"/>
                <w:color w:val="auto"/>
                <w:sz w:val="24"/>
                <w:highlight w:val="none"/>
              </w:rPr>
            </w:pPr>
          </w:p>
        </w:tc>
        <w:tc>
          <w:tcPr>
            <w:tcW w:w="430"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1" w:type="pct"/>
            <w:vAlign w:val="center"/>
          </w:tcPr>
          <w:p>
            <w:pPr>
              <w:snapToGrid w:val="0"/>
              <w:spacing w:line="360" w:lineRule="auto"/>
              <w:jc w:val="center"/>
              <w:rPr>
                <w:rFonts w:ascii="宋体" w:hAnsi="宋体" w:cs="宋体"/>
                <w:color w:val="auto"/>
                <w:kern w:val="0"/>
                <w:sz w:val="24"/>
                <w:highlight w:val="none"/>
              </w:rPr>
            </w:pPr>
          </w:p>
        </w:tc>
        <w:tc>
          <w:tcPr>
            <w:tcW w:w="1491"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5" w:type="pct"/>
            <w:vAlign w:val="center"/>
          </w:tcPr>
          <w:p>
            <w:pPr>
              <w:snapToGrid w:val="0"/>
              <w:spacing w:line="360" w:lineRule="auto"/>
              <w:jc w:val="center"/>
              <w:rPr>
                <w:rFonts w:ascii="宋体" w:hAnsi="宋体"/>
                <w:color w:val="auto"/>
                <w:sz w:val="24"/>
                <w:highlight w:val="none"/>
              </w:rPr>
            </w:pPr>
          </w:p>
        </w:tc>
        <w:tc>
          <w:tcPr>
            <w:tcW w:w="430"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5" w:type="pct"/>
            <w:vAlign w:val="center"/>
          </w:tcPr>
          <w:p>
            <w:pPr>
              <w:snapToGrid w:val="0"/>
              <w:spacing w:line="360" w:lineRule="auto"/>
              <w:jc w:val="center"/>
              <w:rPr>
                <w:rFonts w:ascii="宋体" w:hAnsi="宋体"/>
                <w:color w:val="auto"/>
                <w:sz w:val="24"/>
                <w:highlight w:val="none"/>
              </w:rPr>
            </w:pPr>
          </w:p>
        </w:tc>
        <w:tc>
          <w:tcPr>
            <w:tcW w:w="871" w:type="pct"/>
            <w:vAlign w:val="center"/>
          </w:tcPr>
          <w:p>
            <w:pPr>
              <w:snapToGrid w:val="0"/>
              <w:spacing w:line="360" w:lineRule="auto"/>
              <w:jc w:val="center"/>
              <w:rPr>
                <w:rFonts w:ascii="宋体" w:hAnsi="宋体" w:cs="宋体"/>
                <w:color w:val="auto"/>
                <w:kern w:val="0"/>
                <w:sz w:val="24"/>
                <w:highlight w:val="none"/>
              </w:rPr>
            </w:pPr>
          </w:p>
        </w:tc>
        <w:tc>
          <w:tcPr>
            <w:tcW w:w="1491"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4EF2DE0"/>
    <w:rsid w:val="06C4362D"/>
    <w:rsid w:val="08143E14"/>
    <w:rsid w:val="09A06EBC"/>
    <w:rsid w:val="0C126086"/>
    <w:rsid w:val="0C38202B"/>
    <w:rsid w:val="0D4E228E"/>
    <w:rsid w:val="0DEE133C"/>
    <w:rsid w:val="12E8710C"/>
    <w:rsid w:val="14000B07"/>
    <w:rsid w:val="14942B05"/>
    <w:rsid w:val="15235970"/>
    <w:rsid w:val="17324C05"/>
    <w:rsid w:val="191A53F6"/>
    <w:rsid w:val="19413534"/>
    <w:rsid w:val="1A53594C"/>
    <w:rsid w:val="1AD77600"/>
    <w:rsid w:val="1ADE3486"/>
    <w:rsid w:val="1CA26245"/>
    <w:rsid w:val="1DFC4E79"/>
    <w:rsid w:val="1E2C09AB"/>
    <w:rsid w:val="1E7B7C40"/>
    <w:rsid w:val="1E897F61"/>
    <w:rsid w:val="1FB35AA9"/>
    <w:rsid w:val="23C8685E"/>
    <w:rsid w:val="246E43C5"/>
    <w:rsid w:val="2778394C"/>
    <w:rsid w:val="27C42B43"/>
    <w:rsid w:val="28A11BB3"/>
    <w:rsid w:val="2BB5293D"/>
    <w:rsid w:val="314B5F88"/>
    <w:rsid w:val="3214608E"/>
    <w:rsid w:val="361313A7"/>
    <w:rsid w:val="36676F28"/>
    <w:rsid w:val="38057A77"/>
    <w:rsid w:val="38AD2C56"/>
    <w:rsid w:val="3A2D1439"/>
    <w:rsid w:val="3AB52C3C"/>
    <w:rsid w:val="3D586A93"/>
    <w:rsid w:val="3D6C7658"/>
    <w:rsid w:val="3DC2628F"/>
    <w:rsid w:val="3E225B46"/>
    <w:rsid w:val="3ED122A0"/>
    <w:rsid w:val="3F850CF3"/>
    <w:rsid w:val="42B81734"/>
    <w:rsid w:val="43EC14F2"/>
    <w:rsid w:val="4564374E"/>
    <w:rsid w:val="47D84234"/>
    <w:rsid w:val="47F25EC1"/>
    <w:rsid w:val="489259CA"/>
    <w:rsid w:val="4C350850"/>
    <w:rsid w:val="4CE2174D"/>
    <w:rsid w:val="4D66222C"/>
    <w:rsid w:val="4D824513"/>
    <w:rsid w:val="4DB8035E"/>
    <w:rsid w:val="4E182762"/>
    <w:rsid w:val="50E86392"/>
    <w:rsid w:val="51497716"/>
    <w:rsid w:val="51B74CC0"/>
    <w:rsid w:val="51C7007A"/>
    <w:rsid w:val="522C2C59"/>
    <w:rsid w:val="52886937"/>
    <w:rsid w:val="56E408B2"/>
    <w:rsid w:val="572F491B"/>
    <w:rsid w:val="58051F2C"/>
    <w:rsid w:val="583D632F"/>
    <w:rsid w:val="58F506B4"/>
    <w:rsid w:val="5B761B8D"/>
    <w:rsid w:val="5C8A37E8"/>
    <w:rsid w:val="5E741D96"/>
    <w:rsid w:val="5EDC409E"/>
    <w:rsid w:val="5F480A54"/>
    <w:rsid w:val="641847D4"/>
    <w:rsid w:val="6623094C"/>
    <w:rsid w:val="66E85E24"/>
    <w:rsid w:val="67BA53B7"/>
    <w:rsid w:val="687E47A4"/>
    <w:rsid w:val="69E70454"/>
    <w:rsid w:val="6A1A1EE9"/>
    <w:rsid w:val="6AB61037"/>
    <w:rsid w:val="6BAE56C9"/>
    <w:rsid w:val="6C880260"/>
    <w:rsid w:val="6D293FA7"/>
    <w:rsid w:val="74B308B5"/>
    <w:rsid w:val="75247769"/>
    <w:rsid w:val="76D85F24"/>
    <w:rsid w:val="77554844"/>
    <w:rsid w:val="77A44224"/>
    <w:rsid w:val="78935FD8"/>
    <w:rsid w:val="7A214D4A"/>
    <w:rsid w:val="7D3F0A9F"/>
    <w:rsid w:val="7D731875"/>
    <w:rsid w:val="7E103106"/>
    <w:rsid w:val="7F271109"/>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next w:val="1"/>
    <w:autoRedefine/>
    <w:qFormat/>
    <w:uiPriority w:val="99"/>
    <w:pPr>
      <w:shd w:val="clear" w:color="000000" w:fill="00007F"/>
    </w:pPr>
    <w:rPr>
      <w:kern w:val="1"/>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autoRedefine/>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 w:type="character" w:customStyle="1" w:styleId="36">
    <w:name w:val="font31"/>
    <w:basedOn w:val="23"/>
    <w:autoRedefine/>
    <w:qFormat/>
    <w:uiPriority w:val="0"/>
    <w:rPr>
      <w:rFonts w:hint="eastAsia" w:ascii="宋体" w:hAnsi="宋体" w:eastAsia="宋体" w:cs="宋体"/>
      <w:color w:val="000000"/>
      <w:sz w:val="22"/>
      <w:szCs w:val="22"/>
      <w:u w:val="none"/>
    </w:rPr>
  </w:style>
  <w:style w:type="paragraph" w:customStyle="1" w:styleId="3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13644</Words>
  <Characters>14278</Characters>
  <Lines>186</Lines>
  <Paragraphs>52</Paragraphs>
  <TotalTime>1</TotalTime>
  <ScaleCrop>false</ScaleCrop>
  <LinksUpToDate>false</LinksUpToDate>
  <CharactersWithSpaces>14959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2024-07-08T07:36:34Z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561323AB07B042D8A8D4937CE316B5D5_13</vt:lpwstr>
  </property>
</Properties>
</file>